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Pr="00977902" w:rsidRDefault="00C21DEC" w:rsidP="00F60F24">
      <w:pPr>
        <w:spacing w:after="0" w:line="240" w:lineRule="auto"/>
        <w:rPr>
          <w:sz w:val="28"/>
          <w:szCs w:val="28"/>
        </w:rPr>
      </w:pP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</w:p>
    <w:p w:rsid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8C4945" w:rsidRPr="009C406D" w:rsidRDefault="0039330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8C4945" w:rsidRPr="00977902" w:rsidRDefault="007E075C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color w:val="C00000"/>
          <w:spacing w:val="60"/>
          <w:sz w:val="24"/>
        </w:rPr>
      </w:pPr>
      <w:r>
        <w:rPr>
          <w:rFonts w:asciiTheme="majorHAnsi" w:hAnsiTheme="majorHAnsi" w:cstheme="majorHAnsi"/>
          <w:b/>
          <w:caps/>
          <w:color w:val="C00000"/>
          <w:spacing w:val="60"/>
          <w:sz w:val="24"/>
        </w:rPr>
        <w:t>partnerek kapcsolattartói adatai</w:t>
      </w:r>
    </w:p>
    <w:p w:rsidR="0061431E" w:rsidRPr="009C406D" w:rsidRDefault="0061431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0" w:name="_Toc48689375"/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Veszprém Handball Zrt. a vonatkozó jogszabályok és saját adatvédelmi irányelveit figyelembe véve a jelen dokumentummal kívánja tájékoztatni érintetteket az adatkezelési szabályokról.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A323F6" w:rsidRDefault="003F5496" w:rsidP="00A323F6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Jelen tájékoztató kizárólag a konkrét adatkezelési tevékenység kapcsán tartalmaz információkat. A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előírt tájékoztatási kötelezettség szerinti további információkat Adatkezelő Általános Adatvédelmi Tájékoztatója tartalmazza, mely honlapunkon elérhető: </w:t>
      </w:r>
      <w:hyperlink r:id="rId8" w:history="1">
        <w:r w:rsidR="00A323F6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https://telekomveszprem.hu/hu/adatvedelmi-tajekoztato</w:t>
        </w:r>
      </w:hyperlink>
    </w:p>
    <w:p w:rsidR="00DC1A70" w:rsidRDefault="00DC1A70" w:rsidP="00A323F6">
      <w:pPr>
        <w:pStyle w:val="Default"/>
        <w:jc w:val="both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82709" w:rsidRDefault="003F5496" w:rsidP="003F5496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adatvédelmi referens: </w:t>
      </w:r>
      <w:proofErr w:type="spellStart"/>
      <w:r w:rsidR="00A323F6">
        <w:rPr>
          <w:rFonts w:asciiTheme="majorHAnsi" w:hAnsiTheme="majorHAnsi" w:cstheme="majorHAnsi"/>
          <w:sz w:val="22"/>
        </w:rPr>
        <w:t>Schöffer</w:t>
      </w:r>
      <w:proofErr w:type="spellEnd"/>
      <w:r w:rsidR="00A323F6">
        <w:rPr>
          <w:rFonts w:asciiTheme="majorHAnsi" w:hAnsiTheme="majorHAnsi" w:cstheme="majorHAnsi"/>
          <w:sz w:val="22"/>
        </w:rPr>
        <w:t xml:space="preserve"> Alíz,</w:t>
      </w:r>
      <w:bookmarkStart w:id="1" w:name="_GoBack"/>
      <w:bookmarkEnd w:id="1"/>
      <w:r w:rsidRPr="00682709">
        <w:rPr>
          <w:rFonts w:asciiTheme="majorHAnsi" w:hAnsiTheme="majorHAnsi" w:cstheme="majorHAnsi"/>
          <w:sz w:val="22"/>
        </w:rPr>
        <w:t xml:space="preserve">  </w:t>
      </w:r>
      <w:hyperlink r:id="rId9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7E075C" w:rsidRDefault="007E075C" w:rsidP="007E075C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Akadémia</w:t>
      </w:r>
      <w:r w:rsidRPr="009C0756">
        <w:rPr>
          <w:rFonts w:asciiTheme="majorHAnsi" w:hAnsiTheme="majorHAnsi" w:cstheme="majorHAnsi"/>
        </w:rPr>
        <w:t xml:space="preserve"> szerződéses partnereivel, ügyfeleivel való kapcsolata során kezeli a partner</w:t>
      </w:r>
      <w:r>
        <w:rPr>
          <w:rFonts w:asciiTheme="majorHAnsi" w:hAnsiTheme="majorHAnsi" w:cstheme="majorHAnsi"/>
        </w:rPr>
        <w:t>ek</w:t>
      </w:r>
      <w:r w:rsidRPr="009C0756">
        <w:rPr>
          <w:rFonts w:asciiTheme="majorHAnsi" w:hAnsiTheme="majorHAnsi" w:cstheme="majorHAnsi"/>
        </w:rPr>
        <w:t xml:space="preserve"> kapcsolattartói adatait. Az adatok jellegéből adódóan szükséges lehet személyes adatok</w:t>
      </w:r>
      <w:r>
        <w:rPr>
          <w:rFonts w:asciiTheme="majorHAnsi" w:hAnsiTheme="majorHAnsi" w:cstheme="majorHAnsi"/>
        </w:rPr>
        <w:t xml:space="preserve"> (név, e-mail cím, telefonszám)</w:t>
      </w:r>
      <w:r w:rsidRPr="009C0756">
        <w:rPr>
          <w:rFonts w:asciiTheme="majorHAnsi" w:hAnsiTheme="majorHAnsi" w:cstheme="majorHAnsi"/>
        </w:rPr>
        <w:t xml:space="preserve"> kezelésére is. Adatkezelő felhívja partner figyelmét, hogy tájékoztassa az általa megadott kapcsolattartót az adatkezelés </w:t>
      </w:r>
      <w:proofErr w:type="spellStart"/>
      <w:r w:rsidRPr="009C0756">
        <w:rPr>
          <w:rFonts w:asciiTheme="majorHAnsi" w:hAnsiTheme="majorHAnsi" w:cstheme="majorHAnsi"/>
        </w:rPr>
        <w:t>tényéről</w:t>
      </w:r>
      <w:proofErr w:type="spellEnd"/>
      <w:r w:rsidRPr="009C0756">
        <w:rPr>
          <w:rFonts w:asciiTheme="majorHAnsi" w:hAnsiTheme="majorHAnsi" w:cstheme="majorHAnsi"/>
        </w:rPr>
        <w:t>.</w:t>
      </w:r>
    </w:p>
    <w:p w:rsidR="007E075C" w:rsidRDefault="007E075C" w:rsidP="007E075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E075C" w:rsidRDefault="007E075C" w:rsidP="007E07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C0756">
        <w:rPr>
          <w:rFonts w:asciiTheme="majorHAnsi" w:hAnsiTheme="majorHAnsi" w:cstheme="majorHAnsi"/>
        </w:rPr>
        <w:t>Az adatkezelés célja a szerződéses partnerekkel, ügyfelekkel való hatékony együttműködés biztosítása</w:t>
      </w:r>
      <w:r>
        <w:rPr>
          <w:rFonts w:asciiTheme="majorHAnsi" w:hAnsiTheme="majorHAnsi" w:cstheme="majorHAnsi"/>
        </w:rPr>
        <w:t>. Az adatkezelés jogalapja a Rendelet 6. cikk (1) bekezdés f) pontja szerint Adatkezelő azon jogos érdeke, hogy üzleti kapcsolatai folyamatosságát és zavartalanságát biztosítsa.</w:t>
      </w:r>
    </w:p>
    <w:p w:rsidR="007E075C" w:rsidRDefault="007E075C" w:rsidP="007E075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E075C" w:rsidRDefault="007E075C" w:rsidP="007E075C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adatkezelés a</w:t>
      </w:r>
      <w:r w:rsidRPr="009C0756">
        <w:rPr>
          <w:rFonts w:asciiTheme="majorHAnsi" w:hAnsiTheme="majorHAnsi" w:cstheme="majorHAnsi"/>
        </w:rPr>
        <w:t xml:space="preserve"> szerződéses kapcsolat, illetve folyamatos együttműködés esetén az együttműködés</w:t>
      </w:r>
      <w:r>
        <w:rPr>
          <w:rFonts w:asciiTheme="majorHAnsi" w:hAnsiTheme="majorHAnsi" w:cstheme="majorHAnsi"/>
        </w:rPr>
        <w:t>ét követő naptári év június 30. napjáig (iratmegsemmisítési fordulónap)</w:t>
      </w:r>
      <w:r w:rsidRPr="009C0756">
        <w:rPr>
          <w:rFonts w:asciiTheme="majorHAnsi" w:hAnsiTheme="majorHAnsi" w:cstheme="majorHAnsi"/>
        </w:rPr>
        <w:t xml:space="preserve"> befejezéséig.</w:t>
      </w:r>
    </w:p>
    <w:p w:rsidR="004F759D" w:rsidRDefault="004F759D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Hozzájárulással kezelt adatok tekintetében Ön hozzájárulását bármikor, akár indokolás nélkül visszavonhatja, azonban ez nem érinti a hozzájárulás visszavonása előtti adatkezelés jogszerűségét.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Pr="000D0E5D">
        <w:rPr>
          <w:rFonts w:asciiTheme="majorHAnsi" w:hAnsiTheme="majorHAnsi" w:cstheme="majorHAnsi"/>
          <w:sz w:val="22"/>
          <w:szCs w:val="22"/>
        </w:rPr>
        <w:t>1055</w:t>
      </w:r>
      <w:r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</w:t>
      </w:r>
      <w:r w:rsidRPr="009C406D">
        <w:rPr>
          <w:rFonts w:asciiTheme="majorHAnsi" w:hAnsiTheme="majorHAnsi" w:cstheme="majorHAnsi"/>
          <w:sz w:val="22"/>
          <w:szCs w:val="22"/>
        </w:rPr>
        <w:lastRenderedPageBreak/>
        <w:t xml:space="preserve">szerinti törvényszék előtt is megindítható (a törvényszékek felsorolását és elérhetőségét az alábbi linken keresztül tekintheti meg: </w:t>
      </w:r>
      <w:hyperlink r:id="rId10" w:history="1">
        <w:r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F77C42" w:rsidRDefault="003F5496" w:rsidP="003F5496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>További tájékoztatásért kérem, olvassa el az Általános Adatvédelmi Tájékoztatót vagy vegye fel a kapcsolatot Adatkezelővel fentiekben meghatározott elérhetőségein.</w:t>
      </w: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bookmarkEnd w:id="0"/>
    <w:p w:rsidR="00DC1A70" w:rsidRDefault="00DC1A70" w:rsidP="00F60F2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sectPr w:rsidR="00DC1A70" w:rsidSect="00DC6DF9">
      <w:footerReference w:type="default" r:id="rId11"/>
      <w:headerReference w:type="first" r:id="rId12"/>
      <w:type w:val="continuous"/>
      <w:pgSz w:w="11906" w:h="16838"/>
      <w:pgMar w:top="1560" w:right="849" w:bottom="851" w:left="709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F4" w:rsidRDefault="00085EF4" w:rsidP="00AF7DC6">
      <w:pPr>
        <w:spacing w:after="0" w:line="240" w:lineRule="auto"/>
      </w:pPr>
      <w:r>
        <w:separator/>
      </w:r>
    </w:p>
  </w:endnote>
  <w:endnote w:type="continuationSeparator" w:id="0">
    <w:p w:rsidR="00085EF4" w:rsidRDefault="00085EF4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Pr="00C5569B" w:rsidRDefault="006A0BBE" w:rsidP="00C5569B">
    <w:pPr>
      <w:pStyle w:val="llb"/>
      <w:jc w:val="center"/>
      <w:rPr>
        <w:rFonts w:cstheme="minorHAnsi"/>
        <w:sz w:val="20"/>
      </w:rPr>
    </w:pPr>
    <w:r>
      <w:t xml:space="preserve">- </w:t>
    </w:r>
    <w:sdt>
      <w:sdtPr>
        <w:id w:val="193308313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Pr="00C5569B">
          <w:rPr>
            <w:rFonts w:cstheme="minorHAnsi"/>
            <w:sz w:val="20"/>
          </w:rPr>
          <w:fldChar w:fldCharType="begin"/>
        </w:r>
        <w:r w:rsidRPr="00C5569B">
          <w:rPr>
            <w:rFonts w:cstheme="minorHAnsi"/>
            <w:sz w:val="20"/>
          </w:rPr>
          <w:instrText>PAGE   \* MERGEFORMAT</w:instrText>
        </w:r>
        <w:r w:rsidRPr="00C5569B">
          <w:rPr>
            <w:rFonts w:cstheme="minorHAnsi"/>
            <w:sz w:val="20"/>
          </w:rPr>
          <w:fldChar w:fldCharType="separate"/>
        </w:r>
        <w:r w:rsidR="00A323F6">
          <w:rPr>
            <w:rFonts w:cstheme="minorHAnsi"/>
            <w:noProof/>
            <w:sz w:val="20"/>
          </w:rPr>
          <w:t>2</w:t>
        </w:r>
        <w:r w:rsidRPr="00C5569B">
          <w:rPr>
            <w:rFonts w:cstheme="minorHAnsi"/>
            <w:sz w:val="20"/>
          </w:rPr>
          <w:fldChar w:fldCharType="end"/>
        </w:r>
        <w:r>
          <w:rPr>
            <w:rFonts w:cstheme="minorHAnsi"/>
            <w:sz w:val="20"/>
          </w:rPr>
          <w:t xml:space="preserve"> -</w:t>
        </w:r>
      </w:sdtContent>
    </w:sdt>
  </w:p>
  <w:p w:rsidR="006A0BBE" w:rsidRDefault="006A0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F4" w:rsidRDefault="00085EF4" w:rsidP="00AF7DC6">
      <w:pPr>
        <w:spacing w:after="0" w:line="240" w:lineRule="auto"/>
      </w:pPr>
      <w:r>
        <w:separator/>
      </w:r>
    </w:p>
  </w:footnote>
  <w:footnote w:type="continuationSeparator" w:id="0">
    <w:p w:rsidR="00085EF4" w:rsidRDefault="00085EF4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Default="006A0BBE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BE" w:rsidRPr="002264D7" w:rsidRDefault="006A0BBE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 Zrt.</w:t>
    </w:r>
  </w:p>
  <w:p w:rsidR="006A0BBE" w:rsidRPr="002264D7" w:rsidRDefault="006A0BBE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57"/>
    <w:multiLevelType w:val="multilevel"/>
    <w:tmpl w:val="F73E9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F57"/>
    <w:multiLevelType w:val="hybridMultilevel"/>
    <w:tmpl w:val="083E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B80"/>
    <w:multiLevelType w:val="hybridMultilevel"/>
    <w:tmpl w:val="7FCC4B6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34"/>
    <w:multiLevelType w:val="multilevel"/>
    <w:tmpl w:val="2A6CE622"/>
    <w:lvl w:ilvl="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2001213"/>
    <w:multiLevelType w:val="multilevel"/>
    <w:tmpl w:val="33CC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3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EB1C16"/>
    <w:multiLevelType w:val="hybridMultilevel"/>
    <w:tmpl w:val="6D9A24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4FE"/>
    <w:multiLevelType w:val="hybridMultilevel"/>
    <w:tmpl w:val="50BCA4A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3C1"/>
    <w:multiLevelType w:val="hybridMultilevel"/>
    <w:tmpl w:val="12C224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11"/>
    <w:multiLevelType w:val="hybridMultilevel"/>
    <w:tmpl w:val="F870AA26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ECB2014"/>
    <w:multiLevelType w:val="multilevel"/>
    <w:tmpl w:val="3968C4F8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46EA3873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5FE9"/>
    <w:multiLevelType w:val="multilevel"/>
    <w:tmpl w:val="96F8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E24A10"/>
    <w:multiLevelType w:val="hybridMultilevel"/>
    <w:tmpl w:val="7E2CFD0A"/>
    <w:lvl w:ilvl="0" w:tplc="5C884C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4079F"/>
    <w:multiLevelType w:val="hybridMultilevel"/>
    <w:tmpl w:val="B602E93C"/>
    <w:lvl w:ilvl="0" w:tplc="6D3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C1D0A"/>
    <w:multiLevelType w:val="hybridMultilevel"/>
    <w:tmpl w:val="9E40ADA0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6DA9"/>
    <w:multiLevelType w:val="multilevel"/>
    <w:tmpl w:val="51CA42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405B"/>
    <w:multiLevelType w:val="hybridMultilevel"/>
    <w:tmpl w:val="571EA3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043"/>
    <w:multiLevelType w:val="hybridMultilevel"/>
    <w:tmpl w:val="39E6AD4A"/>
    <w:lvl w:ilvl="0" w:tplc="5C884CB8">
      <w:start w:val="3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53B7"/>
    <w:multiLevelType w:val="hybridMultilevel"/>
    <w:tmpl w:val="C67ADD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97776"/>
    <w:multiLevelType w:val="hybridMultilevel"/>
    <w:tmpl w:val="19486616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EDFA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120"/>
    <w:multiLevelType w:val="hybridMultilevel"/>
    <w:tmpl w:val="41CA630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22"/>
  </w:num>
  <w:num w:numId="19">
    <w:abstractNumId w:val="24"/>
  </w:num>
  <w:num w:numId="20">
    <w:abstractNumId w:val="19"/>
  </w:num>
  <w:num w:numId="21">
    <w:abstractNumId w:val="17"/>
  </w:num>
  <w:num w:numId="22">
    <w:abstractNumId w:val="11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4259A"/>
    <w:rsid w:val="00073CA0"/>
    <w:rsid w:val="00080AB7"/>
    <w:rsid w:val="00085AB5"/>
    <w:rsid w:val="00085EF4"/>
    <w:rsid w:val="00097208"/>
    <w:rsid w:val="000C31EA"/>
    <w:rsid w:val="00113EC9"/>
    <w:rsid w:val="001365E8"/>
    <w:rsid w:val="00171345"/>
    <w:rsid w:val="00194C72"/>
    <w:rsid w:val="001A7085"/>
    <w:rsid w:val="001C53EB"/>
    <w:rsid w:val="001E1CCE"/>
    <w:rsid w:val="002025A2"/>
    <w:rsid w:val="0020380E"/>
    <w:rsid w:val="002264D7"/>
    <w:rsid w:val="0022798E"/>
    <w:rsid w:val="00260E9F"/>
    <w:rsid w:val="00270E0D"/>
    <w:rsid w:val="002A4B3F"/>
    <w:rsid w:val="002B2FB1"/>
    <w:rsid w:val="002D01D7"/>
    <w:rsid w:val="00324AD1"/>
    <w:rsid w:val="0039330E"/>
    <w:rsid w:val="003D6A30"/>
    <w:rsid w:val="003F5496"/>
    <w:rsid w:val="004067A4"/>
    <w:rsid w:val="00407DB4"/>
    <w:rsid w:val="004261B0"/>
    <w:rsid w:val="004448DD"/>
    <w:rsid w:val="00454686"/>
    <w:rsid w:val="00454B1C"/>
    <w:rsid w:val="00487590"/>
    <w:rsid w:val="00497C29"/>
    <w:rsid w:val="004C5A48"/>
    <w:rsid w:val="004D2586"/>
    <w:rsid w:val="004F759D"/>
    <w:rsid w:val="005234B2"/>
    <w:rsid w:val="00530708"/>
    <w:rsid w:val="005513F0"/>
    <w:rsid w:val="0058200E"/>
    <w:rsid w:val="00586365"/>
    <w:rsid w:val="005F422F"/>
    <w:rsid w:val="0061431E"/>
    <w:rsid w:val="00623E67"/>
    <w:rsid w:val="0068457D"/>
    <w:rsid w:val="006A0BBE"/>
    <w:rsid w:val="006B36CF"/>
    <w:rsid w:val="006B4385"/>
    <w:rsid w:val="006E7414"/>
    <w:rsid w:val="006F5B16"/>
    <w:rsid w:val="00711185"/>
    <w:rsid w:val="0072324D"/>
    <w:rsid w:val="00735248"/>
    <w:rsid w:val="0074665E"/>
    <w:rsid w:val="0075428B"/>
    <w:rsid w:val="00787336"/>
    <w:rsid w:val="007E075C"/>
    <w:rsid w:val="0083453B"/>
    <w:rsid w:val="008649A5"/>
    <w:rsid w:val="008817AA"/>
    <w:rsid w:val="008869CE"/>
    <w:rsid w:val="008C3B98"/>
    <w:rsid w:val="008C4945"/>
    <w:rsid w:val="008F1E36"/>
    <w:rsid w:val="0090365B"/>
    <w:rsid w:val="0093639F"/>
    <w:rsid w:val="009668B9"/>
    <w:rsid w:val="00977902"/>
    <w:rsid w:val="00994970"/>
    <w:rsid w:val="009B2D8A"/>
    <w:rsid w:val="009C1658"/>
    <w:rsid w:val="009C406D"/>
    <w:rsid w:val="00A323F6"/>
    <w:rsid w:val="00A628A9"/>
    <w:rsid w:val="00A843C9"/>
    <w:rsid w:val="00AD0445"/>
    <w:rsid w:val="00AD0496"/>
    <w:rsid w:val="00AD2548"/>
    <w:rsid w:val="00AF21FA"/>
    <w:rsid w:val="00AF7DC6"/>
    <w:rsid w:val="00B24436"/>
    <w:rsid w:val="00B7224A"/>
    <w:rsid w:val="00B74376"/>
    <w:rsid w:val="00BA6ECA"/>
    <w:rsid w:val="00BB27D4"/>
    <w:rsid w:val="00BE4679"/>
    <w:rsid w:val="00BF1BC6"/>
    <w:rsid w:val="00BF3B93"/>
    <w:rsid w:val="00C008E7"/>
    <w:rsid w:val="00C21DEC"/>
    <w:rsid w:val="00C30EA3"/>
    <w:rsid w:val="00C5569B"/>
    <w:rsid w:val="00C67042"/>
    <w:rsid w:val="00CA1C0B"/>
    <w:rsid w:val="00CA227C"/>
    <w:rsid w:val="00CA28D6"/>
    <w:rsid w:val="00CA46F5"/>
    <w:rsid w:val="00CE24BE"/>
    <w:rsid w:val="00CF4DF3"/>
    <w:rsid w:val="00D00C87"/>
    <w:rsid w:val="00D168E0"/>
    <w:rsid w:val="00D5575A"/>
    <w:rsid w:val="00D76DC7"/>
    <w:rsid w:val="00DC1A70"/>
    <w:rsid w:val="00DC6DF9"/>
    <w:rsid w:val="00DE150B"/>
    <w:rsid w:val="00DE6530"/>
    <w:rsid w:val="00DF1769"/>
    <w:rsid w:val="00DF54FF"/>
    <w:rsid w:val="00E045D1"/>
    <w:rsid w:val="00E2298E"/>
    <w:rsid w:val="00E266CA"/>
    <w:rsid w:val="00E67742"/>
    <w:rsid w:val="00E82E63"/>
    <w:rsid w:val="00EC28E8"/>
    <w:rsid w:val="00EE0A2D"/>
    <w:rsid w:val="00F577CF"/>
    <w:rsid w:val="00F60F24"/>
    <w:rsid w:val="00F77C42"/>
    <w:rsid w:val="00F81A32"/>
    <w:rsid w:val="00F85210"/>
    <w:rsid w:val="00FA1118"/>
    <w:rsid w:val="00FA2759"/>
    <w:rsid w:val="00FC34B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1A70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C1A70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C1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CA0"/>
    <w:pPr>
      <w:spacing w:before="240" w:line="259" w:lineRule="auto"/>
      <w:outlineLvl w:val="9"/>
    </w:pPr>
    <w:rPr>
      <w:rFonts w:asciiTheme="majorHAnsi" w:hAnsiTheme="majorHAnsi"/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C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C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73C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komveszprem.hu/hu/adatvedelmi-tajekozta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veszpremhandball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77B1-D540-4253-B75A-195DA86B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2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Dóra Dékány</cp:lastModifiedBy>
  <cp:revision>89</cp:revision>
  <dcterms:created xsi:type="dcterms:W3CDTF">2020-09-17T17:31:00Z</dcterms:created>
  <dcterms:modified xsi:type="dcterms:W3CDTF">2020-10-17T13:02:00Z</dcterms:modified>
</cp:coreProperties>
</file>